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8E" w:rsidRPr="003373C6" w:rsidRDefault="00CF178E" w:rsidP="00AB6C85">
      <w:pPr>
        <w:spacing w:line="480" w:lineRule="auto"/>
        <w:jc w:val="both"/>
        <w:rPr>
          <w:rFonts w:asciiTheme="majorBidi" w:hAnsiTheme="majorBidi" w:cstheme="majorBidi"/>
          <w:color w:val="0F243E" w:themeColor="text2" w:themeShade="80"/>
          <w:sz w:val="24"/>
          <w:szCs w:val="24"/>
        </w:rPr>
      </w:pPr>
      <w:r w:rsidRPr="003373C6">
        <w:rPr>
          <w:rFonts w:asciiTheme="majorBidi" w:hAnsiTheme="majorBidi" w:cstheme="majorBidi"/>
          <w:b/>
          <w:bCs/>
          <w:color w:val="0F243E" w:themeColor="text2" w:themeShade="80"/>
          <w:sz w:val="24"/>
          <w:szCs w:val="24"/>
          <w:u w:val="single"/>
        </w:rPr>
        <w:t>Name</w:t>
      </w:r>
      <w:r w:rsidRPr="003373C6">
        <w:rPr>
          <w:rFonts w:asciiTheme="majorBidi" w:hAnsiTheme="majorBidi" w:cstheme="majorBidi"/>
          <w:color w:val="0F243E" w:themeColor="text2" w:themeShade="80"/>
          <w:sz w:val="24"/>
          <w:szCs w:val="24"/>
        </w:rPr>
        <w:t xml:space="preserve">: </w:t>
      </w:r>
      <w:bookmarkStart w:id="0" w:name="_GoBack"/>
      <w:bookmarkEnd w:id="0"/>
    </w:p>
    <w:p w:rsidR="00CF178E" w:rsidRPr="003373C6" w:rsidRDefault="00CF178E" w:rsidP="00CF178E">
      <w:pPr>
        <w:spacing w:line="480" w:lineRule="auto"/>
        <w:rPr>
          <w:rFonts w:asciiTheme="majorBidi" w:hAnsiTheme="majorBidi" w:cstheme="majorBidi"/>
          <w:color w:val="0F243E" w:themeColor="text2" w:themeShade="80"/>
          <w:sz w:val="24"/>
          <w:szCs w:val="24"/>
        </w:rPr>
      </w:pPr>
      <w:r w:rsidRPr="003373C6">
        <w:rPr>
          <w:rFonts w:asciiTheme="majorBidi" w:hAnsiTheme="majorBidi" w:cstheme="majorBidi"/>
          <w:b/>
          <w:bCs/>
          <w:color w:val="0F243E" w:themeColor="text2" w:themeShade="80"/>
          <w:sz w:val="24"/>
          <w:szCs w:val="24"/>
          <w:u w:val="single"/>
        </w:rPr>
        <w:t>Course</w:t>
      </w:r>
      <w:r w:rsidRPr="003373C6">
        <w:rPr>
          <w:rFonts w:asciiTheme="majorBidi" w:hAnsiTheme="majorBidi" w:cstheme="majorBidi"/>
          <w:color w:val="0F243E" w:themeColor="text2" w:themeShade="80"/>
          <w:sz w:val="24"/>
          <w:szCs w:val="24"/>
        </w:rPr>
        <w:t>: Sophomore Rhetoric (English 202)</w:t>
      </w:r>
    </w:p>
    <w:p w:rsidR="00CF178E" w:rsidRPr="003373C6" w:rsidRDefault="00CF178E" w:rsidP="00CF178E">
      <w:pPr>
        <w:spacing w:line="480" w:lineRule="auto"/>
        <w:rPr>
          <w:rFonts w:asciiTheme="majorBidi" w:hAnsiTheme="majorBidi" w:cstheme="majorBidi"/>
          <w:color w:val="0F243E" w:themeColor="text2" w:themeShade="80"/>
          <w:sz w:val="24"/>
          <w:szCs w:val="24"/>
        </w:rPr>
      </w:pPr>
      <w:r w:rsidRPr="003373C6">
        <w:rPr>
          <w:rFonts w:asciiTheme="majorBidi" w:hAnsiTheme="majorBidi" w:cstheme="majorBidi"/>
          <w:b/>
          <w:bCs/>
          <w:color w:val="0F243E" w:themeColor="text2" w:themeShade="80"/>
          <w:sz w:val="24"/>
          <w:szCs w:val="24"/>
          <w:u w:val="single"/>
        </w:rPr>
        <w:t>Section</w:t>
      </w:r>
      <w:r w:rsidRPr="003373C6">
        <w:rPr>
          <w:rFonts w:asciiTheme="majorBidi" w:hAnsiTheme="majorBidi" w:cstheme="majorBidi"/>
          <w:color w:val="0F243E" w:themeColor="text2" w:themeShade="80"/>
          <w:sz w:val="24"/>
          <w:szCs w:val="24"/>
        </w:rPr>
        <w:t>: 26</w:t>
      </w:r>
    </w:p>
    <w:p w:rsidR="00CF178E" w:rsidRDefault="00CF178E" w:rsidP="00CF178E">
      <w:pPr>
        <w:spacing w:line="480" w:lineRule="auto"/>
        <w:rPr>
          <w:rFonts w:asciiTheme="majorBidi" w:hAnsiTheme="majorBidi" w:cstheme="majorBidi"/>
          <w:sz w:val="24"/>
          <w:szCs w:val="24"/>
        </w:rPr>
      </w:pPr>
      <w:r w:rsidRPr="003373C6">
        <w:rPr>
          <w:rFonts w:asciiTheme="majorBidi" w:hAnsiTheme="majorBidi" w:cstheme="majorBidi"/>
          <w:b/>
          <w:bCs/>
          <w:color w:val="0F243E" w:themeColor="text2" w:themeShade="80"/>
          <w:sz w:val="24"/>
          <w:szCs w:val="24"/>
          <w:u w:val="single"/>
        </w:rPr>
        <w:t>Assignment</w:t>
      </w:r>
      <w:r>
        <w:rPr>
          <w:rFonts w:asciiTheme="majorBidi" w:hAnsiTheme="majorBidi" w:cstheme="majorBidi"/>
          <w:color w:val="0F243E" w:themeColor="text2" w:themeShade="80"/>
          <w:sz w:val="24"/>
          <w:szCs w:val="24"/>
        </w:rPr>
        <w:t xml:space="preserve">:   </w:t>
      </w:r>
      <w:r w:rsidRPr="003373C6">
        <w:rPr>
          <w:rFonts w:asciiTheme="majorBidi" w:hAnsiTheme="majorBidi" w:cstheme="majorBidi"/>
          <w:color w:val="0F243E" w:themeColor="text2" w:themeShade="80"/>
          <w:sz w:val="24"/>
          <w:szCs w:val="24"/>
        </w:rPr>
        <w:t xml:space="preserve"> </w:t>
      </w:r>
      <w:r w:rsidRPr="00CF178E">
        <w:rPr>
          <w:rFonts w:asciiTheme="majorBidi" w:hAnsiTheme="majorBidi" w:cstheme="majorBidi"/>
          <w:color w:val="0F243E" w:themeColor="text2" w:themeShade="80"/>
          <w:sz w:val="24"/>
          <w:szCs w:val="24"/>
        </w:rPr>
        <w:t xml:space="preserve">A summary </w:t>
      </w:r>
      <w:proofErr w:type="gramStart"/>
      <w:r w:rsidRPr="00CF178E">
        <w:rPr>
          <w:rFonts w:asciiTheme="majorBidi" w:hAnsiTheme="majorBidi" w:cstheme="majorBidi"/>
          <w:color w:val="0F243E" w:themeColor="text2" w:themeShade="80"/>
          <w:sz w:val="24"/>
          <w:szCs w:val="24"/>
        </w:rPr>
        <w:t>of</w:t>
      </w:r>
      <w:r>
        <w:rPr>
          <w:rFonts w:asciiTheme="majorBidi" w:hAnsiTheme="majorBidi" w:cstheme="majorBidi"/>
          <w:b/>
          <w:bCs/>
          <w:color w:val="0F243E" w:themeColor="text2" w:themeShade="80"/>
          <w:sz w:val="24"/>
          <w:szCs w:val="24"/>
        </w:rPr>
        <w:t xml:space="preserve">  “</w:t>
      </w:r>
      <w:proofErr w:type="gramEnd"/>
      <w:r w:rsidRPr="00EA1089">
        <w:rPr>
          <w:rFonts w:asciiTheme="majorBidi" w:hAnsiTheme="majorBidi" w:cstheme="majorBidi"/>
          <w:sz w:val="24"/>
          <w:szCs w:val="24"/>
        </w:rPr>
        <w:t xml:space="preserve">Does dieting increase </w:t>
      </w:r>
      <w:r>
        <w:rPr>
          <w:rFonts w:asciiTheme="majorBidi" w:hAnsiTheme="majorBidi" w:cstheme="majorBidi"/>
          <w:sz w:val="24"/>
          <w:szCs w:val="24"/>
        </w:rPr>
        <w:t xml:space="preserve">the risk for obesity and eating </w:t>
      </w:r>
      <w:r w:rsidRPr="00EA1089">
        <w:rPr>
          <w:rFonts w:asciiTheme="majorBidi" w:hAnsiTheme="majorBidi" w:cstheme="majorBidi"/>
          <w:sz w:val="24"/>
          <w:szCs w:val="24"/>
        </w:rPr>
        <w:t>disorders</w:t>
      </w:r>
      <w:r>
        <w:rPr>
          <w:rFonts w:asciiTheme="majorBidi" w:hAnsiTheme="majorBidi" w:cstheme="majorBidi"/>
          <w:sz w:val="24"/>
          <w:szCs w:val="24"/>
        </w:rPr>
        <w:t>?”</w:t>
      </w:r>
    </w:p>
    <w:p w:rsidR="000A03BC" w:rsidRPr="00EA1089" w:rsidRDefault="00CF178E" w:rsidP="007F306A">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sidR="00EA1089" w:rsidRPr="00EA1089">
        <w:rPr>
          <w:rFonts w:asciiTheme="majorBidi" w:hAnsiTheme="majorBidi" w:cstheme="majorBidi"/>
          <w:sz w:val="24"/>
          <w:szCs w:val="24"/>
        </w:rPr>
        <w:t>In her article “Does dieting increase the risk for obesity and eating disorders</w:t>
      </w:r>
      <w:r w:rsidR="007F306A">
        <w:rPr>
          <w:rFonts w:asciiTheme="majorBidi" w:hAnsiTheme="majorBidi" w:cstheme="majorBidi"/>
          <w:sz w:val="24"/>
          <w:szCs w:val="24"/>
        </w:rPr>
        <w:t>?</w:t>
      </w:r>
      <w:proofErr w:type="gramStart"/>
      <w:r w:rsidR="007F306A">
        <w:rPr>
          <w:rFonts w:asciiTheme="majorBidi" w:hAnsiTheme="majorBidi" w:cstheme="majorBidi"/>
          <w:sz w:val="24"/>
          <w:szCs w:val="24"/>
        </w:rPr>
        <w:t>”,</w:t>
      </w:r>
      <w:proofErr w:type="gramEnd"/>
      <w:r w:rsidR="007F306A">
        <w:rPr>
          <w:rFonts w:asciiTheme="majorBidi" w:hAnsiTheme="majorBidi" w:cstheme="majorBidi"/>
          <w:sz w:val="24"/>
          <w:szCs w:val="24"/>
        </w:rPr>
        <w:t xml:space="preserve"> </w:t>
      </w:r>
      <w:r w:rsidR="00EA1089" w:rsidRPr="00EA1089">
        <w:rPr>
          <w:rFonts w:asciiTheme="majorBidi" w:hAnsiTheme="majorBidi" w:cstheme="majorBidi"/>
          <w:sz w:val="24"/>
          <w:szCs w:val="24"/>
        </w:rPr>
        <w:t xml:space="preserve">writer Bonnie A. Spear discusses </w:t>
      </w:r>
      <w:r w:rsidR="00EA1089">
        <w:rPr>
          <w:rFonts w:asciiTheme="majorBidi" w:hAnsiTheme="majorBidi" w:cstheme="majorBidi"/>
          <w:sz w:val="24"/>
          <w:szCs w:val="24"/>
        </w:rPr>
        <w:t xml:space="preserve">extreme or over </w:t>
      </w:r>
      <w:r w:rsidR="00EA1089" w:rsidRPr="00EA1089">
        <w:rPr>
          <w:rFonts w:asciiTheme="majorBidi" w:hAnsiTheme="majorBidi" w:cstheme="majorBidi"/>
          <w:sz w:val="24"/>
          <w:szCs w:val="24"/>
        </w:rPr>
        <w:t>dieting at young ages</w:t>
      </w:r>
      <w:r w:rsidR="008261CF">
        <w:rPr>
          <w:rFonts w:asciiTheme="majorBidi" w:hAnsiTheme="majorBidi" w:cstheme="majorBidi"/>
          <w:sz w:val="24"/>
          <w:szCs w:val="24"/>
        </w:rPr>
        <w:t>, its origins(the media</w:t>
      </w:r>
      <w:r w:rsidR="007F306A">
        <w:rPr>
          <w:rFonts w:asciiTheme="majorBidi" w:hAnsiTheme="majorBidi" w:cstheme="majorBidi"/>
          <w:sz w:val="24"/>
          <w:szCs w:val="24"/>
        </w:rPr>
        <w:t xml:space="preserve"> and marketing</w:t>
      </w:r>
      <w:r w:rsidR="008261CF">
        <w:rPr>
          <w:rFonts w:asciiTheme="majorBidi" w:hAnsiTheme="majorBidi" w:cstheme="majorBidi"/>
          <w:sz w:val="24"/>
          <w:szCs w:val="24"/>
        </w:rPr>
        <w:t>)</w:t>
      </w:r>
      <w:r w:rsidR="00EA1089" w:rsidRPr="00EA1089">
        <w:rPr>
          <w:rFonts w:asciiTheme="majorBidi" w:hAnsiTheme="majorBidi" w:cstheme="majorBidi"/>
          <w:sz w:val="24"/>
          <w:szCs w:val="24"/>
        </w:rPr>
        <w:t xml:space="preserve"> and its </w:t>
      </w:r>
      <w:r w:rsidR="007F306A">
        <w:rPr>
          <w:rFonts w:asciiTheme="majorBidi" w:hAnsiTheme="majorBidi" w:cstheme="majorBidi"/>
          <w:sz w:val="24"/>
          <w:szCs w:val="24"/>
        </w:rPr>
        <w:t xml:space="preserve">impacts and </w:t>
      </w:r>
      <w:r w:rsidR="00EA1089" w:rsidRPr="00EA1089">
        <w:rPr>
          <w:rFonts w:asciiTheme="majorBidi" w:hAnsiTheme="majorBidi" w:cstheme="majorBidi"/>
          <w:sz w:val="24"/>
          <w:szCs w:val="24"/>
        </w:rPr>
        <w:t xml:space="preserve">risks over time. </w:t>
      </w:r>
      <w:r w:rsidR="00EA1089">
        <w:rPr>
          <w:rFonts w:asciiTheme="majorBidi" w:hAnsiTheme="majorBidi" w:cstheme="majorBidi"/>
          <w:sz w:val="24"/>
          <w:szCs w:val="24"/>
        </w:rPr>
        <w:t xml:space="preserve">She observes that there </w:t>
      </w:r>
      <w:proofErr w:type="gramStart"/>
      <w:r w:rsidR="00EA1089">
        <w:rPr>
          <w:rFonts w:asciiTheme="majorBidi" w:hAnsiTheme="majorBidi" w:cstheme="majorBidi"/>
          <w:sz w:val="24"/>
          <w:szCs w:val="24"/>
        </w:rPr>
        <w:t>is</w:t>
      </w:r>
      <w:proofErr w:type="gramEnd"/>
      <w:r w:rsidR="00EA1089">
        <w:rPr>
          <w:rFonts w:asciiTheme="majorBidi" w:hAnsiTheme="majorBidi" w:cstheme="majorBidi"/>
          <w:sz w:val="24"/>
          <w:szCs w:val="24"/>
        </w:rPr>
        <w:t xml:space="preserve"> a high percentage of extreme dieters in adolescents and teens, yet the percentage of obesity and overweight is increasing. Spear suggests that even though dieting might be effective instantly, it increases the risks of gaining weight and becoming obese and developing eating disorders</w:t>
      </w:r>
      <w:r w:rsidR="007F306A">
        <w:rPr>
          <w:rFonts w:asciiTheme="majorBidi" w:hAnsiTheme="majorBidi" w:cstheme="majorBidi"/>
          <w:sz w:val="24"/>
          <w:szCs w:val="24"/>
        </w:rPr>
        <w:t>. D</w:t>
      </w:r>
      <w:r w:rsidR="008261CF">
        <w:rPr>
          <w:rFonts w:asciiTheme="majorBidi" w:hAnsiTheme="majorBidi" w:cstheme="majorBidi"/>
          <w:sz w:val="24"/>
          <w:szCs w:val="24"/>
        </w:rPr>
        <w:t xml:space="preserve">ieting leads to requiring fewer calories to maintain the new weight and returning to the normal eating habits leads to </w:t>
      </w:r>
      <w:r w:rsidR="007F306A">
        <w:rPr>
          <w:rFonts w:asciiTheme="majorBidi" w:hAnsiTheme="majorBidi" w:cstheme="majorBidi"/>
          <w:sz w:val="24"/>
          <w:szCs w:val="24"/>
        </w:rPr>
        <w:t>weight</w:t>
      </w:r>
      <w:r w:rsidR="008261CF">
        <w:rPr>
          <w:rFonts w:asciiTheme="majorBidi" w:hAnsiTheme="majorBidi" w:cstheme="majorBidi"/>
          <w:sz w:val="24"/>
          <w:szCs w:val="24"/>
        </w:rPr>
        <w:t xml:space="preserve"> gain, </w:t>
      </w:r>
      <w:r w:rsidR="007F306A">
        <w:rPr>
          <w:rFonts w:asciiTheme="majorBidi" w:hAnsiTheme="majorBidi" w:cstheme="majorBidi"/>
          <w:sz w:val="24"/>
          <w:szCs w:val="24"/>
        </w:rPr>
        <w:t xml:space="preserve">leads to requiring more energy thus more consuming carbohydrates thus weight gain </w:t>
      </w:r>
      <w:r w:rsidR="008261CF">
        <w:rPr>
          <w:rFonts w:asciiTheme="majorBidi" w:hAnsiTheme="majorBidi" w:cstheme="majorBidi"/>
          <w:sz w:val="24"/>
          <w:szCs w:val="24"/>
        </w:rPr>
        <w:t xml:space="preserve">and </w:t>
      </w:r>
      <w:r w:rsidR="007F306A">
        <w:rPr>
          <w:rFonts w:asciiTheme="majorBidi" w:hAnsiTheme="majorBidi" w:cstheme="majorBidi"/>
          <w:sz w:val="24"/>
          <w:szCs w:val="24"/>
        </w:rPr>
        <w:t xml:space="preserve">leads to binge eating, to counteract the effects </w:t>
      </w:r>
      <w:r>
        <w:rPr>
          <w:rFonts w:asciiTheme="majorBidi" w:hAnsiTheme="majorBidi" w:cstheme="majorBidi"/>
          <w:sz w:val="24"/>
          <w:szCs w:val="24"/>
        </w:rPr>
        <w:t xml:space="preserve">of </w:t>
      </w:r>
      <w:r w:rsidR="007F306A">
        <w:rPr>
          <w:rFonts w:asciiTheme="majorBidi" w:hAnsiTheme="majorBidi" w:cstheme="majorBidi"/>
          <w:sz w:val="24"/>
          <w:szCs w:val="24"/>
        </w:rPr>
        <w:t xml:space="preserve">calorie deprivation, which predicts weight gain or the development of eating disorders. </w:t>
      </w:r>
    </w:p>
    <w:sectPr w:rsidR="000A03BC" w:rsidRPr="00EA1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A1089"/>
    <w:rsid w:val="000A03BC"/>
    <w:rsid w:val="007F306A"/>
    <w:rsid w:val="008261CF"/>
    <w:rsid w:val="00AB6C85"/>
    <w:rsid w:val="00CF178E"/>
    <w:rsid w:val="00EA1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2012-10-23T03:31:00Z</dcterms:created>
  <dcterms:modified xsi:type="dcterms:W3CDTF">2013-04-18T18:12:00Z</dcterms:modified>
</cp:coreProperties>
</file>